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62D2" w14:textId="73C2E02D" w:rsidR="00AD0F24" w:rsidRDefault="00AD0F24" w:rsidP="00AD0F24">
      <w:pPr>
        <w:pStyle w:val="ANormal"/>
        <w:rPr>
          <w:lang w:val="en-GB"/>
        </w:rPr>
      </w:pPr>
    </w:p>
    <w:p w14:paraId="1E09FFB0" w14:textId="77777777" w:rsidR="00AD0F24" w:rsidRDefault="00AD0F24" w:rsidP="00AD0F24">
      <w:pPr>
        <w:pStyle w:val="ANormal"/>
        <w:rPr>
          <w:lang w:val="en-GB"/>
        </w:rPr>
      </w:pPr>
    </w:p>
    <w:p w14:paraId="17A25510" w14:textId="77777777" w:rsidR="00AF3004" w:rsidRPr="007572D4" w:rsidRDefault="00AF3004">
      <w:pPr>
        <w:pStyle w:val="Rubrikmellanrum"/>
        <w:rPr>
          <w:lang w:val="en-US"/>
        </w:rPr>
      </w:pPr>
      <w:bookmarkStart w:id="0" w:name="_GoBack"/>
      <w:bookmarkEnd w:id="0"/>
    </w:p>
    <w:p w14:paraId="49A61496" w14:textId="77777777" w:rsidR="00AF3004" w:rsidRDefault="00AF3004">
      <w:pPr>
        <w:pStyle w:val="LagHuvRubr"/>
        <w:rPr>
          <w:lang w:val="en-GB"/>
        </w:rPr>
      </w:pPr>
      <w:bookmarkStart w:id="1" w:name="_Toc20991233"/>
      <w:r>
        <w:rPr>
          <w:lang w:val="en-GB"/>
        </w:rPr>
        <w:t>L A N D S K A P S L A G</w:t>
      </w:r>
      <w:r>
        <w:rPr>
          <w:lang w:val="en-GB"/>
        </w:rPr>
        <w:br/>
        <w:t>om</w:t>
      </w:r>
      <w:r w:rsidR="00AD0F24">
        <w:rPr>
          <w:lang w:val="en-GB"/>
        </w:rPr>
        <w:t xml:space="preserve"> </w:t>
      </w:r>
      <w:proofErr w:type="spellStart"/>
      <w:r w:rsidR="00AD0F24" w:rsidRPr="00AD0F24">
        <w:rPr>
          <w:lang w:val="en-GB"/>
        </w:rPr>
        <w:t>avbytarstöd</w:t>
      </w:r>
      <w:bookmarkEnd w:id="1"/>
      <w:proofErr w:type="spellEnd"/>
    </w:p>
    <w:p w14:paraId="0370AD2A" w14:textId="77777777" w:rsidR="00AD0F24" w:rsidRPr="007572D4" w:rsidRDefault="00AD0F24" w:rsidP="00AD0F24">
      <w:pPr>
        <w:pStyle w:val="ANormal"/>
        <w:jc w:val="center"/>
        <w:rPr>
          <w:lang w:val="sv-FI"/>
        </w:rPr>
      </w:pPr>
      <w:r w:rsidRPr="007572D4">
        <w:rPr>
          <w:lang w:val="sv-FI"/>
        </w:rPr>
        <w:t>(2014:53)</w:t>
      </w:r>
    </w:p>
    <w:p w14:paraId="14AFE29A" w14:textId="77777777" w:rsidR="00AD0F24" w:rsidRPr="007572D4" w:rsidRDefault="00AD0F24" w:rsidP="00AD0F24">
      <w:pPr>
        <w:pStyle w:val="ANormal"/>
        <w:rPr>
          <w:lang w:val="sv-FI"/>
        </w:rPr>
      </w:pPr>
    </w:p>
    <w:p w14:paraId="3A94E638" w14:textId="77777777" w:rsidR="00AD0F24" w:rsidRPr="007572D4" w:rsidRDefault="00AD0F24" w:rsidP="00AD0F24">
      <w:pPr>
        <w:pStyle w:val="LagParagraf"/>
        <w:rPr>
          <w:lang w:val="sv-FI"/>
        </w:rPr>
      </w:pPr>
      <w:r w:rsidRPr="007572D4">
        <w:rPr>
          <w:lang w:val="sv-FI"/>
        </w:rPr>
        <w:t>1 §</w:t>
      </w:r>
    </w:p>
    <w:p w14:paraId="7D50B5A0" w14:textId="77777777" w:rsidR="00AD0F24" w:rsidRDefault="00AD0F24" w:rsidP="00AD0F24">
      <w:pPr>
        <w:pStyle w:val="LagPararubrik"/>
      </w:pPr>
      <w:r>
        <w:t>Inledning</w:t>
      </w:r>
    </w:p>
    <w:p w14:paraId="1C54BFAD" w14:textId="77777777" w:rsidR="00AD0F24" w:rsidRDefault="00AD0F24" w:rsidP="00AD0F24">
      <w:pPr>
        <w:pStyle w:val="ANormal"/>
      </w:pPr>
      <w:r>
        <w:tab/>
        <w:t>I denna lag finns bestämmelser om rätt till stöd för anlitande av lantbruksavbytare för nödvändiga arbeten vilka hör till den dagliga skötseln av djur i ett lantbruksföretag (avbytarstöd).</w:t>
      </w:r>
    </w:p>
    <w:p w14:paraId="7A4A0FC2" w14:textId="77777777" w:rsidR="00AD0F24" w:rsidRDefault="00AD0F24" w:rsidP="00AD0F24">
      <w:pPr>
        <w:pStyle w:val="ANormal"/>
      </w:pPr>
    </w:p>
    <w:p w14:paraId="064B835C" w14:textId="77777777" w:rsidR="00AD0F24" w:rsidRDefault="00AD0F24" w:rsidP="00AD0F24">
      <w:pPr>
        <w:pStyle w:val="LagParagraf"/>
      </w:pPr>
      <w:r>
        <w:t>2 §</w:t>
      </w:r>
    </w:p>
    <w:p w14:paraId="19FB19E5" w14:textId="77777777" w:rsidR="00AD0F24" w:rsidRDefault="00AD0F24" w:rsidP="00AD0F24">
      <w:pPr>
        <w:pStyle w:val="LagPararubrik"/>
      </w:pPr>
      <w:r>
        <w:t>Mottagare</w:t>
      </w:r>
    </w:p>
    <w:p w14:paraId="511D25E1" w14:textId="77777777" w:rsidR="00AD0F24" w:rsidRDefault="00AD0F24" w:rsidP="00AD0F24">
      <w:pPr>
        <w:pStyle w:val="ANormal"/>
      </w:pPr>
      <w:r>
        <w:tab/>
        <w:t>(2015/47) Landskapsregeringen kan för enskilda lantbrukares arbetsuppgifter på ansökan från ett lantbruksföretag bevilja avbytarstöd till en avbytarorganisation, en lantbruksavbytare med företags- och organisationsnummer (FO-nummer) eller till timanställda lantbruksavbytare. Avbytarstöd kan endast beviljas i landskapet verksamma mikroföretag samt små och medelstora företag som avses i artikel 1 punkt 1a i den Europeiska kommissionens förordning (EU) nr 702/2014 av den 25 juni 2014 genom vilken vissa kategorier av stöd inom jordbruks- och skogsbrukssektorn och i landsbygdsområden förklaras förenliga med den inre marknaden enligt artiklarna 107 och 108 i fördraget om Europeiska unionens funktionssätt. Avbytarstöd för en timanställd avbytare kan betalas till det berörda lantbruksföretaget, om stödbeloppet har mindre betydelse i enlighet med bestämmelserna i den Europeiska kommissionens förordning (EU) nr 1407/2013 om tillämpningen av artiklarna 107 och 108 i fördraget om Europeiska unionens funktionssätt på stöd av mindre betydelse.</w:t>
      </w:r>
    </w:p>
    <w:p w14:paraId="664311B6" w14:textId="77777777" w:rsidR="00AD0F24" w:rsidRDefault="00AD0F24" w:rsidP="00AD0F24">
      <w:pPr>
        <w:pStyle w:val="ANormal"/>
      </w:pPr>
      <w:r>
        <w:tab/>
        <w:t>Avbytarstöd beviljas inte företag i svårigheter eller företag som är föremål för ett oreglerat betalningskrav på grund av ett tidigare kommissionsbeslut om att ett stöd är olagligt och oförenligt med den inre marknaden som avses i</w:t>
      </w:r>
    </w:p>
    <w:p w14:paraId="360B5F51" w14:textId="77777777" w:rsidR="00AD0F24" w:rsidRDefault="00AD0F24" w:rsidP="00AD0F24">
      <w:pPr>
        <w:pStyle w:val="ANormal"/>
      </w:pPr>
      <w:r>
        <w:tab/>
        <w:t>1) Europeiska kommissionens förordning (EU) nr 702/2014 av den 25 juni 2014 genom vilken vissa kategorier av stöd inom jordbruks- och skogsbrukssektorn och i landsbygdsområden förklaras förenliga med den inre marknaden enligt artiklarna 107 och 108 i fördraget om Europeiska unionens funktionssätt samt i</w:t>
      </w:r>
    </w:p>
    <w:p w14:paraId="6D5464FD" w14:textId="77777777" w:rsidR="00AD0F24" w:rsidRDefault="00AD0F24" w:rsidP="00AD0F24">
      <w:pPr>
        <w:pStyle w:val="ANormal"/>
      </w:pPr>
      <w:r>
        <w:tab/>
        <w:t>2) Europeiska unionens riktlinjer för statligt stöd inom jordbruks- och skogsbrukssektorn och i landsbygdsområden 2014–2020 (2014/C 204/01).</w:t>
      </w:r>
    </w:p>
    <w:p w14:paraId="59B33173" w14:textId="77777777" w:rsidR="00AD0F24" w:rsidRDefault="00AD0F24" w:rsidP="00AD0F24">
      <w:pPr>
        <w:pStyle w:val="ANormal"/>
      </w:pPr>
      <w:r>
        <w:tab/>
        <w:t>En ansökan om avbytarstöd ska för att kunna beviljas ha inkommit till landskapsregeringen senast inom januari månad det kalenderår som följer efter det år som en ansökan avser.</w:t>
      </w:r>
    </w:p>
    <w:p w14:paraId="4A7CE636" w14:textId="77777777" w:rsidR="00AD0F24" w:rsidRDefault="00AD0F24" w:rsidP="00AD0F24">
      <w:pPr>
        <w:pStyle w:val="ANormal"/>
      </w:pPr>
    </w:p>
    <w:p w14:paraId="349892DD" w14:textId="77777777" w:rsidR="00AD0F24" w:rsidRDefault="00AD0F24" w:rsidP="00AD0F24">
      <w:pPr>
        <w:pStyle w:val="LagParagraf"/>
      </w:pPr>
      <w:r>
        <w:t>3 §</w:t>
      </w:r>
    </w:p>
    <w:p w14:paraId="5C46FBAE" w14:textId="77777777" w:rsidR="00AD0F24" w:rsidRDefault="00AD0F24" w:rsidP="00AD0F24">
      <w:pPr>
        <w:pStyle w:val="LagPararubrik"/>
      </w:pPr>
      <w:r>
        <w:t>Definitioner</w:t>
      </w:r>
    </w:p>
    <w:p w14:paraId="2A32226C" w14:textId="77777777" w:rsidR="00AD0F24" w:rsidRDefault="00AD0F24" w:rsidP="00AD0F24">
      <w:pPr>
        <w:pStyle w:val="ANormal"/>
      </w:pPr>
      <w:r>
        <w:tab/>
        <w:t>I denna stödordning avses med</w:t>
      </w:r>
    </w:p>
    <w:p w14:paraId="605F4566" w14:textId="77777777" w:rsidR="00AD0F24" w:rsidRDefault="00AD0F24" w:rsidP="00AD0F24">
      <w:pPr>
        <w:pStyle w:val="ANormal"/>
      </w:pPr>
      <w:r>
        <w:tab/>
        <w:t xml:space="preserve">1) </w:t>
      </w:r>
      <w:r w:rsidRPr="00E15BA1">
        <w:rPr>
          <w:i/>
          <w:iCs/>
        </w:rPr>
        <w:t>lantbruksföretag</w:t>
      </w:r>
      <w:r>
        <w:t xml:space="preserve"> en självständig ekonomisk enhet som beskattas enligt inkomstskattelagen för gårdsbruk (FFS 543/1967), grunden för verksamheten ska vara husdjursproduktion,</w:t>
      </w:r>
    </w:p>
    <w:p w14:paraId="41F654CA" w14:textId="77777777" w:rsidR="00AD0F24" w:rsidRDefault="00AD0F24" w:rsidP="00AD0F24">
      <w:pPr>
        <w:pStyle w:val="ANormal"/>
      </w:pPr>
      <w:r>
        <w:tab/>
        <w:t xml:space="preserve">2) </w:t>
      </w:r>
      <w:r w:rsidRPr="00E15BA1">
        <w:rPr>
          <w:i/>
          <w:iCs/>
        </w:rPr>
        <w:t>lantbruksföretagare</w:t>
      </w:r>
      <w:r>
        <w:t xml:space="preserve"> en person som efter den kalendermånad denne har fyllt 18 år genom att själv delta i arbetet bedriver lantbruk och är skyldig att teckna en försäkring som avses i 10 § lagen om pension för lantbruksföretagare (FFS 1280/2006) samt har nämnda försäkring i kraft eller har lämnat in en ansökan om en sådan, eller en sådan person i åldern 15–18 år vilken i fråga om andra villkor än åldern uppfyller villkoren för sådan försäkring,</w:t>
      </w:r>
    </w:p>
    <w:p w14:paraId="221F9117" w14:textId="77777777" w:rsidR="00E15BA1" w:rsidRDefault="00E15BA1" w:rsidP="00E15BA1">
      <w:pPr>
        <w:pStyle w:val="ANormal"/>
      </w:pPr>
      <w:r>
        <w:lastRenderedPageBreak/>
        <w:tab/>
        <w:t xml:space="preserve">3) </w:t>
      </w:r>
      <w:r w:rsidRPr="00E15BA1">
        <w:rPr>
          <w:i/>
          <w:iCs/>
        </w:rPr>
        <w:t>husdjursproduktion</w:t>
      </w:r>
      <w:r>
        <w:t xml:space="preserve"> lantbruksföretag med en verksamhet inriktad på skötsel av nötdjur, svin, getter, får eller fjäderfä samt med (2019/88)</w:t>
      </w:r>
    </w:p>
    <w:p w14:paraId="300DF2AD" w14:textId="77777777" w:rsidR="00AD0F24" w:rsidRDefault="00E15BA1" w:rsidP="00E15BA1">
      <w:pPr>
        <w:pStyle w:val="ANormal"/>
      </w:pPr>
      <w:r>
        <w:tab/>
        <w:t xml:space="preserve">4) </w:t>
      </w:r>
      <w:r w:rsidRPr="00E15BA1">
        <w:rPr>
          <w:i/>
          <w:iCs/>
        </w:rPr>
        <w:t>husdjursenhet</w:t>
      </w:r>
      <w:r>
        <w:t xml:space="preserve"> de i följande tabell förtecknade antal djur som kräver en likvärdig daglig arbetsinsats av en lantbrukare, varvid i tabellen anges det antal djur av visst slag som i enlighet med denna lag utgör en husdjursenhet (de) som följer (2019/88):</w:t>
      </w:r>
    </w:p>
    <w:p w14:paraId="2223B017" w14:textId="77777777" w:rsidR="00E15BA1" w:rsidRDefault="00E15BA1" w:rsidP="00E15BA1">
      <w:pPr>
        <w:pStyle w:val="ANormal"/>
      </w:pPr>
    </w:p>
    <w:tbl>
      <w:tblPr>
        <w:tblW w:w="5273" w:type="dxa"/>
        <w:tblCellMar>
          <w:left w:w="0" w:type="dxa"/>
          <w:right w:w="0" w:type="dxa"/>
        </w:tblCellMar>
        <w:tblLook w:val="04A0" w:firstRow="1" w:lastRow="0" w:firstColumn="1" w:lastColumn="0" w:noHBand="0" w:noVBand="1"/>
      </w:tblPr>
      <w:tblGrid>
        <w:gridCol w:w="388"/>
        <w:gridCol w:w="2759"/>
        <w:gridCol w:w="1134"/>
        <w:gridCol w:w="992"/>
      </w:tblGrid>
      <w:tr w:rsidR="00E15BA1" w:rsidRPr="00E15BA1" w14:paraId="1487A370" w14:textId="77777777" w:rsidTr="00E15BA1">
        <w:tc>
          <w:tcPr>
            <w:tcW w:w="3147" w:type="dxa"/>
            <w:gridSpan w:val="2"/>
            <w:tcBorders>
              <w:top w:val="single" w:sz="8" w:space="0" w:color="auto"/>
              <w:left w:val="nil"/>
              <w:bottom w:val="single" w:sz="8" w:space="0" w:color="auto"/>
              <w:right w:val="nil"/>
            </w:tcBorders>
            <w:shd w:val="clear" w:color="auto" w:fill="auto"/>
            <w:tcMar>
              <w:top w:w="34" w:type="dxa"/>
              <w:left w:w="28" w:type="dxa"/>
              <w:bottom w:w="17" w:type="dxa"/>
              <w:right w:w="28" w:type="dxa"/>
            </w:tcMar>
            <w:hideMark/>
          </w:tcPr>
          <w:p w14:paraId="4E2722A5"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b/>
                <w:bCs/>
                <w:color w:val="555555"/>
                <w:sz w:val="22"/>
                <w:szCs w:val="22"/>
                <w:lang w:eastAsia="sv-FI"/>
              </w:rPr>
              <w:t>nötdjur</w:t>
            </w:r>
          </w:p>
        </w:tc>
        <w:tc>
          <w:tcPr>
            <w:tcW w:w="1134" w:type="dxa"/>
            <w:tcBorders>
              <w:top w:val="single" w:sz="8" w:space="0" w:color="auto"/>
              <w:left w:val="nil"/>
              <w:bottom w:val="single" w:sz="8" w:space="0" w:color="auto"/>
              <w:right w:val="nil"/>
            </w:tcBorders>
            <w:shd w:val="clear" w:color="auto" w:fill="auto"/>
            <w:tcMar>
              <w:top w:w="34" w:type="dxa"/>
              <w:left w:w="28" w:type="dxa"/>
              <w:bottom w:w="17" w:type="dxa"/>
              <w:right w:w="28" w:type="dxa"/>
            </w:tcMar>
            <w:hideMark/>
          </w:tcPr>
          <w:p w14:paraId="4E68E7EF"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c>
          <w:tcPr>
            <w:tcW w:w="992" w:type="dxa"/>
            <w:tcBorders>
              <w:top w:val="single" w:sz="8" w:space="0" w:color="auto"/>
              <w:left w:val="nil"/>
              <w:bottom w:val="single" w:sz="8" w:space="0" w:color="auto"/>
              <w:right w:val="nil"/>
            </w:tcBorders>
            <w:shd w:val="clear" w:color="auto" w:fill="auto"/>
            <w:tcMar>
              <w:top w:w="34" w:type="dxa"/>
              <w:left w:w="28" w:type="dxa"/>
              <w:bottom w:w="17" w:type="dxa"/>
              <w:right w:w="28" w:type="dxa"/>
            </w:tcMar>
            <w:hideMark/>
          </w:tcPr>
          <w:p w14:paraId="2996AD6B"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r>
      <w:tr w:rsidR="00E15BA1" w:rsidRPr="00E15BA1" w14:paraId="3725B6D0"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295B0B1"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3A84833"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mjölkko</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59E69475"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7DDA34BA"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1DD4F31B"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CE30B2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2)</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6D2EA1F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tjurkalvar, dock inte dikalvar</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1095F2C"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4F94E2F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2D48213E"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0D7F1B91"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3)</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60514B76"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avelstjur, diko eller diko med dikalv som är högst sex månader gammal</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29C8DA2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p w14:paraId="19655C9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3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609EBC17"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p w14:paraId="44A29C0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6A78CD01"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43300E8E"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4)</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25AB3EEB"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kvigor, dock inte dikalvar</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5999556"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15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6002E785"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44B5E8A8" w14:textId="77777777" w:rsidTr="00E15BA1">
        <w:tc>
          <w:tcPr>
            <w:tcW w:w="3147" w:type="dxa"/>
            <w:gridSpan w:val="2"/>
            <w:tcBorders>
              <w:top w:val="nil"/>
              <w:left w:val="nil"/>
              <w:bottom w:val="single" w:sz="8" w:space="0" w:color="auto"/>
              <w:right w:val="nil"/>
            </w:tcBorders>
            <w:shd w:val="clear" w:color="auto" w:fill="auto"/>
            <w:tcMar>
              <w:top w:w="34" w:type="dxa"/>
              <w:left w:w="28" w:type="dxa"/>
              <w:bottom w:w="17" w:type="dxa"/>
              <w:right w:w="28" w:type="dxa"/>
            </w:tcMar>
            <w:hideMark/>
          </w:tcPr>
          <w:p w14:paraId="375D8A96"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b/>
                <w:bCs/>
                <w:color w:val="555555"/>
                <w:sz w:val="22"/>
                <w:szCs w:val="22"/>
                <w:lang w:eastAsia="sv-FI"/>
              </w:rPr>
              <w:t>svin</w:t>
            </w:r>
          </w:p>
        </w:tc>
        <w:tc>
          <w:tcPr>
            <w:tcW w:w="1134" w:type="dxa"/>
            <w:tcBorders>
              <w:top w:val="nil"/>
              <w:left w:val="nil"/>
              <w:bottom w:val="single" w:sz="8" w:space="0" w:color="auto"/>
              <w:right w:val="nil"/>
            </w:tcBorders>
            <w:shd w:val="clear" w:color="auto" w:fill="auto"/>
            <w:tcMar>
              <w:top w:w="34" w:type="dxa"/>
              <w:left w:w="28" w:type="dxa"/>
              <w:bottom w:w="17" w:type="dxa"/>
              <w:right w:w="28" w:type="dxa"/>
            </w:tcMar>
            <w:hideMark/>
          </w:tcPr>
          <w:p w14:paraId="1A9A739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32501156"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r>
      <w:tr w:rsidR="00E15BA1" w:rsidRPr="00E15BA1" w14:paraId="6701C0AE"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11AB5BC3"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5)</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75EBFC7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avelsgalt, sugga eller sugga med smågrisar</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79404228"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p w14:paraId="3136E0E8"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2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215EFF2C"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p w14:paraId="546FFB1F"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08820BE0"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4949CD0B"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6)</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2F4C062C"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andra svin</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1295A466"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40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11D08B7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0EDBEAEA" w14:textId="77777777" w:rsidTr="00E15BA1">
        <w:tc>
          <w:tcPr>
            <w:tcW w:w="3147" w:type="dxa"/>
            <w:gridSpan w:val="2"/>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000E4F18"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b/>
                <w:bCs/>
                <w:color w:val="555555"/>
                <w:sz w:val="22"/>
                <w:szCs w:val="22"/>
                <w:lang w:eastAsia="sv-FI"/>
              </w:rPr>
              <w:t>getter</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FFD0078"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6807D0A3"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r>
      <w:tr w:rsidR="00E15BA1" w:rsidRPr="00E15BA1" w14:paraId="3C2F972C"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25CFC37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7)</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2E8B59E5"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get i mjölkproduktion</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304649C"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2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4A9473E9"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6867EC47"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08C7518C"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8)</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6190242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killingar</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71C8B4A7"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40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3BC7507F"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640F61A0" w14:textId="77777777" w:rsidTr="00E15BA1">
        <w:tc>
          <w:tcPr>
            <w:tcW w:w="3147" w:type="dxa"/>
            <w:gridSpan w:val="2"/>
            <w:tcBorders>
              <w:top w:val="nil"/>
              <w:left w:val="nil"/>
              <w:bottom w:val="single" w:sz="8" w:space="0" w:color="auto"/>
              <w:right w:val="nil"/>
            </w:tcBorders>
            <w:shd w:val="clear" w:color="auto" w:fill="auto"/>
            <w:tcMar>
              <w:top w:w="34" w:type="dxa"/>
              <w:left w:w="28" w:type="dxa"/>
              <w:bottom w:w="17" w:type="dxa"/>
              <w:right w:w="28" w:type="dxa"/>
            </w:tcMar>
            <w:hideMark/>
          </w:tcPr>
          <w:p w14:paraId="75E05F51"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b/>
                <w:bCs/>
                <w:color w:val="555555"/>
                <w:sz w:val="22"/>
                <w:szCs w:val="22"/>
                <w:lang w:eastAsia="sv-FI"/>
              </w:rPr>
              <w:t>får</w:t>
            </w:r>
          </w:p>
        </w:tc>
        <w:tc>
          <w:tcPr>
            <w:tcW w:w="1134" w:type="dxa"/>
            <w:tcBorders>
              <w:top w:val="nil"/>
              <w:left w:val="nil"/>
              <w:bottom w:val="single" w:sz="8" w:space="0" w:color="auto"/>
              <w:right w:val="nil"/>
            </w:tcBorders>
            <w:shd w:val="clear" w:color="auto" w:fill="auto"/>
            <w:tcMar>
              <w:top w:w="34" w:type="dxa"/>
              <w:left w:w="28" w:type="dxa"/>
              <w:bottom w:w="17" w:type="dxa"/>
              <w:right w:w="28" w:type="dxa"/>
            </w:tcMar>
            <w:hideMark/>
          </w:tcPr>
          <w:p w14:paraId="3BB5AC79"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43A67626"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r>
      <w:tr w:rsidR="00E15BA1" w:rsidRPr="00E15BA1" w14:paraId="30C07C2C"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D211E7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9)</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A9A0E2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avelsbagge, dräktig tacka eller tacka med dilamm</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431CAE2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p w14:paraId="3E50ECEC"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419DF7C5"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p w14:paraId="643718D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39FD5929"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636860D3"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10)</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6576B6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mjölkfår med dilamm</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52BF0ADB"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06104A41"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4EE3F0B8"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4752408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11)</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3983461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lamm</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7C243378"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40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13D78A5E"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42EE416A" w14:textId="77777777" w:rsidTr="00E15BA1">
        <w:tc>
          <w:tcPr>
            <w:tcW w:w="3147" w:type="dxa"/>
            <w:gridSpan w:val="2"/>
            <w:tcBorders>
              <w:top w:val="nil"/>
              <w:left w:val="nil"/>
              <w:bottom w:val="single" w:sz="8" w:space="0" w:color="auto"/>
              <w:right w:val="nil"/>
            </w:tcBorders>
            <w:shd w:val="clear" w:color="auto" w:fill="auto"/>
            <w:tcMar>
              <w:top w:w="34" w:type="dxa"/>
              <w:left w:w="28" w:type="dxa"/>
              <w:bottom w:w="17" w:type="dxa"/>
              <w:right w:w="28" w:type="dxa"/>
            </w:tcMar>
            <w:hideMark/>
          </w:tcPr>
          <w:p w14:paraId="1996A201"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b/>
                <w:bCs/>
                <w:color w:val="555555"/>
                <w:sz w:val="22"/>
                <w:szCs w:val="22"/>
                <w:lang w:eastAsia="sv-FI"/>
              </w:rPr>
              <w:t>fjäderfä</w:t>
            </w:r>
          </w:p>
        </w:tc>
        <w:tc>
          <w:tcPr>
            <w:tcW w:w="1134" w:type="dxa"/>
            <w:tcBorders>
              <w:top w:val="nil"/>
              <w:left w:val="nil"/>
              <w:bottom w:val="single" w:sz="8" w:space="0" w:color="auto"/>
              <w:right w:val="nil"/>
            </w:tcBorders>
            <w:shd w:val="clear" w:color="auto" w:fill="auto"/>
            <w:tcMar>
              <w:top w:w="34" w:type="dxa"/>
              <w:left w:w="28" w:type="dxa"/>
              <w:bottom w:w="17" w:type="dxa"/>
              <w:right w:w="28" w:type="dxa"/>
            </w:tcMar>
            <w:hideMark/>
          </w:tcPr>
          <w:p w14:paraId="42D1CE1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05DB238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w:t>
            </w:r>
          </w:p>
        </w:tc>
      </w:tr>
      <w:tr w:rsidR="00E15BA1" w:rsidRPr="00E15BA1" w14:paraId="0591B222"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49505DC4"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12)</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2B2A1560"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höns</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0882D04E"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200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1D7DFE4E"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r w:rsidR="00E15BA1" w:rsidRPr="00E15BA1" w14:paraId="1DA1ED2F" w14:textId="77777777" w:rsidTr="00E15BA1">
        <w:tc>
          <w:tcPr>
            <w:tcW w:w="388"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416B73E1"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13)</w:t>
            </w:r>
          </w:p>
        </w:tc>
        <w:tc>
          <w:tcPr>
            <w:tcW w:w="2759"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52495B0D"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slaktkycklingar</w:t>
            </w:r>
          </w:p>
        </w:tc>
        <w:tc>
          <w:tcPr>
            <w:tcW w:w="1134" w:type="dxa"/>
            <w:tcBorders>
              <w:top w:val="nil"/>
              <w:left w:val="nil"/>
              <w:bottom w:val="single" w:sz="8" w:space="0" w:color="auto"/>
              <w:right w:val="single" w:sz="8" w:space="0" w:color="auto"/>
            </w:tcBorders>
            <w:shd w:val="clear" w:color="auto" w:fill="auto"/>
            <w:tcMar>
              <w:top w:w="34" w:type="dxa"/>
              <w:left w:w="28" w:type="dxa"/>
              <w:bottom w:w="17" w:type="dxa"/>
              <w:right w:w="28" w:type="dxa"/>
            </w:tcMar>
            <w:hideMark/>
          </w:tcPr>
          <w:p w14:paraId="6336D32B"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2 000 djur</w:t>
            </w:r>
          </w:p>
        </w:tc>
        <w:tc>
          <w:tcPr>
            <w:tcW w:w="992" w:type="dxa"/>
            <w:tcBorders>
              <w:top w:val="nil"/>
              <w:left w:val="nil"/>
              <w:bottom w:val="single" w:sz="8" w:space="0" w:color="auto"/>
              <w:right w:val="nil"/>
            </w:tcBorders>
            <w:shd w:val="clear" w:color="auto" w:fill="auto"/>
            <w:tcMar>
              <w:top w:w="34" w:type="dxa"/>
              <w:left w:w="28" w:type="dxa"/>
              <w:bottom w:w="17" w:type="dxa"/>
              <w:right w:w="28" w:type="dxa"/>
            </w:tcMar>
            <w:hideMark/>
          </w:tcPr>
          <w:p w14:paraId="49500378" w14:textId="77777777" w:rsidR="00E15BA1" w:rsidRPr="00E15BA1" w:rsidRDefault="00E15BA1" w:rsidP="00E15BA1">
            <w:pPr>
              <w:rPr>
                <w:rFonts w:asciiTheme="minorHAnsi" w:hAnsiTheme="minorHAnsi" w:cstheme="minorHAnsi"/>
                <w:color w:val="555555"/>
                <w:sz w:val="22"/>
                <w:szCs w:val="22"/>
                <w:lang w:val="sv-FI" w:eastAsia="sv-FI"/>
              </w:rPr>
            </w:pPr>
            <w:r w:rsidRPr="00E15BA1">
              <w:rPr>
                <w:rFonts w:asciiTheme="minorHAnsi" w:hAnsiTheme="minorHAnsi" w:cstheme="minorHAnsi"/>
                <w:color w:val="555555"/>
                <w:sz w:val="22"/>
                <w:szCs w:val="22"/>
                <w:lang w:eastAsia="sv-FI"/>
              </w:rPr>
              <w:t>= 1 de</w:t>
            </w:r>
          </w:p>
        </w:tc>
      </w:tr>
    </w:tbl>
    <w:p w14:paraId="6814EEB3" w14:textId="77777777" w:rsidR="00E15BA1" w:rsidRDefault="00E15BA1" w:rsidP="00E15BA1">
      <w:pPr>
        <w:pStyle w:val="ANormal"/>
      </w:pPr>
    </w:p>
    <w:p w14:paraId="061645F0" w14:textId="77777777" w:rsidR="00E15BA1" w:rsidRDefault="00E15BA1" w:rsidP="00E15BA1">
      <w:pPr>
        <w:pStyle w:val="ANormal"/>
      </w:pPr>
    </w:p>
    <w:p w14:paraId="1F85B3CC" w14:textId="77777777" w:rsidR="00E15BA1" w:rsidRDefault="00E15BA1" w:rsidP="00E15BA1">
      <w:pPr>
        <w:pStyle w:val="LagParagraf"/>
      </w:pPr>
      <w:r>
        <w:t>4 §</w:t>
      </w:r>
    </w:p>
    <w:p w14:paraId="674F6802" w14:textId="77777777" w:rsidR="00141FF8" w:rsidRDefault="00141FF8" w:rsidP="00141FF8">
      <w:pPr>
        <w:pStyle w:val="LagPararubrik"/>
      </w:pPr>
      <w:r>
        <w:t>Avbytartimmar</w:t>
      </w:r>
    </w:p>
    <w:p w14:paraId="6C55F8D4" w14:textId="77777777" w:rsidR="00E15BA1" w:rsidRDefault="00141FF8" w:rsidP="00141FF8">
      <w:pPr>
        <w:pStyle w:val="ANormal"/>
      </w:pPr>
      <w:r>
        <w:tab/>
        <w:t>(2019/</w:t>
      </w:r>
      <w:r w:rsidR="006C3379">
        <w:t>88</w:t>
      </w:r>
      <w:r>
        <w:t>) Ett lantbruksföretag kan årligen beviljas avbytartimmar för produktion som avses i 3 § i enlighet med följande tabell:</w:t>
      </w:r>
      <w:r w:rsidR="00E15BA1">
        <w:t xml:space="preserve"> </w:t>
      </w:r>
    </w:p>
    <w:p w14:paraId="3937D0A1" w14:textId="77777777" w:rsidR="00141FF8" w:rsidRDefault="00141FF8" w:rsidP="00141FF8">
      <w:pPr>
        <w:pStyle w:val="ANormal"/>
      </w:pPr>
    </w:p>
    <w:tbl>
      <w:tblPr>
        <w:tblW w:w="7789"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firstRow="1" w:lastRow="0" w:firstColumn="1" w:lastColumn="0" w:noHBand="0" w:noVBand="1"/>
      </w:tblPr>
      <w:tblGrid>
        <w:gridCol w:w="1027"/>
        <w:gridCol w:w="4777"/>
        <w:gridCol w:w="1985"/>
      </w:tblGrid>
      <w:tr w:rsidR="00141FF8" w:rsidRPr="00141FF8" w14:paraId="7DB06BA0" w14:textId="77777777" w:rsidTr="00141FF8">
        <w:trPr>
          <w:tblHeader/>
        </w:trPr>
        <w:tc>
          <w:tcPr>
            <w:tcW w:w="0" w:type="auto"/>
            <w:tcBorders>
              <w:top w:val="single" w:sz="6" w:space="0" w:color="E1E1E1"/>
              <w:left w:val="single" w:sz="6" w:space="0" w:color="E1E1E1"/>
              <w:bottom w:val="single" w:sz="6" w:space="0" w:color="E1E1E1"/>
              <w:right w:val="single" w:sz="6" w:space="0" w:color="E1E1E1"/>
            </w:tcBorders>
            <w:shd w:val="clear" w:color="auto" w:fill="E5E5E5"/>
            <w:tcMar>
              <w:top w:w="75" w:type="dxa"/>
              <w:left w:w="105" w:type="dxa"/>
              <w:bottom w:w="75" w:type="dxa"/>
              <w:right w:w="105" w:type="dxa"/>
            </w:tcMar>
            <w:hideMark/>
          </w:tcPr>
          <w:p w14:paraId="2D4B94D2" w14:textId="77777777" w:rsidR="00141FF8" w:rsidRPr="00141FF8" w:rsidRDefault="00141FF8" w:rsidP="00141FF8">
            <w:pPr>
              <w:rPr>
                <w:rFonts w:asciiTheme="minorHAnsi" w:hAnsiTheme="minorHAnsi" w:cstheme="minorHAnsi"/>
                <w:b/>
                <w:bCs/>
                <w:sz w:val="22"/>
                <w:szCs w:val="22"/>
                <w:lang w:val="sv-FI" w:eastAsia="sv-FI"/>
              </w:rPr>
            </w:pPr>
            <w:r w:rsidRPr="00141FF8">
              <w:rPr>
                <w:rFonts w:asciiTheme="minorHAnsi" w:hAnsiTheme="minorHAnsi" w:cstheme="minorHAnsi"/>
                <w:b/>
                <w:bCs/>
                <w:sz w:val="22"/>
                <w:szCs w:val="22"/>
                <w:lang w:val="sv-FI" w:eastAsia="sv-FI"/>
              </w:rPr>
              <w:t>timmar</w:t>
            </w:r>
          </w:p>
        </w:tc>
        <w:tc>
          <w:tcPr>
            <w:tcW w:w="4777" w:type="dxa"/>
            <w:tcBorders>
              <w:top w:val="single" w:sz="6" w:space="0" w:color="E1E1E1"/>
              <w:left w:val="single" w:sz="6" w:space="0" w:color="E1E1E1"/>
              <w:bottom w:val="single" w:sz="6" w:space="0" w:color="E1E1E1"/>
              <w:right w:val="single" w:sz="6" w:space="0" w:color="E1E1E1"/>
            </w:tcBorders>
            <w:shd w:val="clear" w:color="auto" w:fill="E5E5E5"/>
            <w:tcMar>
              <w:top w:w="75" w:type="dxa"/>
              <w:left w:w="105" w:type="dxa"/>
              <w:bottom w:w="75" w:type="dxa"/>
              <w:right w:w="105" w:type="dxa"/>
            </w:tcMar>
            <w:hideMark/>
          </w:tcPr>
          <w:p w14:paraId="4798F815" w14:textId="77777777" w:rsidR="00141FF8" w:rsidRPr="00141FF8" w:rsidRDefault="00141FF8" w:rsidP="00141FF8">
            <w:pPr>
              <w:rPr>
                <w:rFonts w:asciiTheme="minorHAnsi" w:hAnsiTheme="minorHAnsi" w:cstheme="minorHAnsi"/>
                <w:b/>
                <w:bCs/>
                <w:sz w:val="22"/>
                <w:szCs w:val="22"/>
                <w:lang w:val="sv-FI" w:eastAsia="sv-FI"/>
              </w:rPr>
            </w:pPr>
            <w:r w:rsidRPr="00141FF8">
              <w:rPr>
                <w:rFonts w:asciiTheme="minorHAnsi" w:hAnsiTheme="minorHAnsi" w:cstheme="minorHAnsi"/>
                <w:b/>
                <w:bCs/>
                <w:sz w:val="22"/>
                <w:szCs w:val="22"/>
                <w:lang w:val="sv-FI" w:eastAsia="sv-FI"/>
              </w:rPr>
              <w:t>produktionsinriktning</w:t>
            </w:r>
          </w:p>
        </w:tc>
        <w:tc>
          <w:tcPr>
            <w:tcW w:w="1985" w:type="dxa"/>
            <w:tcBorders>
              <w:top w:val="single" w:sz="6" w:space="0" w:color="E1E1E1"/>
              <w:left w:val="single" w:sz="6" w:space="0" w:color="E1E1E1"/>
              <w:bottom w:val="single" w:sz="6" w:space="0" w:color="E1E1E1"/>
              <w:right w:val="single" w:sz="6" w:space="0" w:color="E1E1E1"/>
            </w:tcBorders>
            <w:shd w:val="clear" w:color="auto" w:fill="E5E5E5"/>
            <w:tcMar>
              <w:top w:w="75" w:type="dxa"/>
              <w:left w:w="105" w:type="dxa"/>
              <w:bottom w:w="75" w:type="dxa"/>
              <w:right w:w="105" w:type="dxa"/>
            </w:tcMar>
            <w:hideMark/>
          </w:tcPr>
          <w:p w14:paraId="52721585" w14:textId="77777777" w:rsidR="00141FF8" w:rsidRPr="00141FF8" w:rsidRDefault="00141FF8" w:rsidP="00141FF8">
            <w:pPr>
              <w:rPr>
                <w:rFonts w:asciiTheme="minorHAnsi" w:hAnsiTheme="minorHAnsi" w:cstheme="minorHAnsi"/>
                <w:b/>
                <w:bCs/>
                <w:sz w:val="22"/>
                <w:szCs w:val="22"/>
                <w:lang w:val="sv-FI" w:eastAsia="sv-FI"/>
              </w:rPr>
            </w:pPr>
            <w:r w:rsidRPr="00141FF8">
              <w:rPr>
                <w:rFonts w:asciiTheme="minorHAnsi" w:hAnsiTheme="minorHAnsi" w:cstheme="minorHAnsi"/>
                <w:b/>
                <w:bCs/>
                <w:sz w:val="22"/>
                <w:szCs w:val="22"/>
                <w:lang w:val="sv-FI" w:eastAsia="sv-FI"/>
              </w:rPr>
              <w:t>antal djurenheter</w:t>
            </w:r>
          </w:p>
        </w:tc>
      </w:tr>
      <w:tr w:rsidR="00141FF8" w:rsidRPr="00141FF8" w14:paraId="2ED8090B" w14:textId="77777777" w:rsidTr="00141FF8">
        <w:tc>
          <w:tcPr>
            <w:tcW w:w="0" w:type="auto"/>
            <w:tcBorders>
              <w:top w:val="single" w:sz="6" w:space="0" w:color="E1E1E1"/>
              <w:left w:val="single" w:sz="6" w:space="0" w:color="E1E1E1"/>
              <w:bottom w:val="single" w:sz="6" w:space="0" w:color="E1E1E1"/>
              <w:right w:val="single" w:sz="6" w:space="0" w:color="E1E1E1"/>
            </w:tcBorders>
            <w:tcMar>
              <w:top w:w="105" w:type="dxa"/>
              <w:left w:w="150" w:type="dxa"/>
              <w:bottom w:w="105" w:type="dxa"/>
              <w:right w:w="150" w:type="dxa"/>
            </w:tcMar>
            <w:hideMark/>
          </w:tcPr>
          <w:p w14:paraId="741DD0EF" w14:textId="77777777" w:rsidR="00141FF8" w:rsidRPr="00141FF8" w:rsidRDefault="00141FF8" w:rsidP="00C9040D">
            <w:pPr>
              <w:jc w:val="cente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300</w:t>
            </w:r>
          </w:p>
        </w:tc>
        <w:tc>
          <w:tcPr>
            <w:tcW w:w="4777" w:type="dxa"/>
            <w:tcBorders>
              <w:top w:val="single" w:sz="6" w:space="0" w:color="E1E1E1"/>
              <w:left w:val="single" w:sz="6" w:space="0" w:color="E1E1E1"/>
              <w:bottom w:val="single" w:sz="6" w:space="0" w:color="E1E1E1"/>
              <w:right w:val="single" w:sz="6" w:space="0" w:color="E1E1E1"/>
            </w:tcBorders>
            <w:tcMar>
              <w:top w:w="105" w:type="dxa"/>
              <w:left w:w="150" w:type="dxa"/>
              <w:bottom w:w="105" w:type="dxa"/>
              <w:right w:w="150" w:type="dxa"/>
            </w:tcMar>
            <w:hideMark/>
          </w:tcPr>
          <w:p w14:paraId="36E54BBF" w14:textId="77777777" w:rsidR="00141FF8" w:rsidRPr="00141FF8" w:rsidRDefault="00141FF8" w:rsidP="00141FF8">
            <w:pP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mjölkproduktion, hela året stallade nötdjur, äggproduktion eller smågrisproduktion</w:t>
            </w:r>
          </w:p>
        </w:tc>
        <w:tc>
          <w:tcPr>
            <w:tcW w:w="1985" w:type="dxa"/>
            <w:tcBorders>
              <w:top w:val="single" w:sz="6" w:space="0" w:color="E1E1E1"/>
              <w:left w:val="single" w:sz="6" w:space="0" w:color="E1E1E1"/>
              <w:bottom w:val="single" w:sz="6" w:space="0" w:color="E1E1E1"/>
              <w:right w:val="single" w:sz="6" w:space="0" w:color="E1E1E1"/>
            </w:tcBorders>
            <w:tcMar>
              <w:top w:w="105" w:type="dxa"/>
              <w:left w:w="150" w:type="dxa"/>
              <w:bottom w:w="105" w:type="dxa"/>
              <w:right w:w="150" w:type="dxa"/>
            </w:tcMar>
            <w:hideMark/>
          </w:tcPr>
          <w:p w14:paraId="1597C005" w14:textId="77777777" w:rsidR="00141FF8" w:rsidRPr="00C9040D" w:rsidRDefault="00141FF8" w:rsidP="006C3379">
            <w:pPr>
              <w:jc w:val="center"/>
              <w:rPr>
                <w:rFonts w:asciiTheme="minorHAnsi" w:hAnsiTheme="minorHAnsi" w:cstheme="minorHAnsi"/>
                <w:sz w:val="22"/>
                <w:szCs w:val="22"/>
                <w:lang w:val="sv-FI" w:eastAsia="sv-FI"/>
              </w:rPr>
            </w:pPr>
          </w:p>
          <w:p w14:paraId="79AE4D4A" w14:textId="77777777" w:rsidR="00141FF8" w:rsidRPr="00141FF8" w:rsidRDefault="00141FF8" w:rsidP="006C3379">
            <w:pPr>
              <w:jc w:val="cente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18 eller fler</w:t>
            </w:r>
          </w:p>
        </w:tc>
      </w:tr>
      <w:tr w:rsidR="00141FF8" w:rsidRPr="00141FF8" w14:paraId="5D3B4789" w14:textId="77777777" w:rsidTr="00141FF8">
        <w:tc>
          <w:tcPr>
            <w:tcW w:w="0" w:type="auto"/>
            <w:tcBorders>
              <w:top w:val="single" w:sz="6" w:space="0" w:color="E1E1E1"/>
              <w:left w:val="single" w:sz="6" w:space="0" w:color="E1E1E1"/>
              <w:bottom w:val="single" w:sz="6" w:space="0" w:color="E1E1E1"/>
              <w:right w:val="single" w:sz="6" w:space="0" w:color="E1E1E1"/>
            </w:tcBorders>
            <w:shd w:val="clear" w:color="auto" w:fill="FFFFFF"/>
            <w:tcMar>
              <w:top w:w="105" w:type="dxa"/>
              <w:left w:w="150" w:type="dxa"/>
              <w:bottom w:w="105" w:type="dxa"/>
              <w:right w:w="150" w:type="dxa"/>
            </w:tcMar>
            <w:hideMark/>
          </w:tcPr>
          <w:p w14:paraId="30DFB9E6" w14:textId="77777777" w:rsidR="00141FF8" w:rsidRPr="00141FF8" w:rsidRDefault="00141FF8" w:rsidP="00C9040D">
            <w:pPr>
              <w:jc w:val="cente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150</w:t>
            </w:r>
          </w:p>
        </w:tc>
        <w:tc>
          <w:tcPr>
            <w:tcW w:w="4777" w:type="dxa"/>
            <w:tcBorders>
              <w:top w:val="single" w:sz="6" w:space="0" w:color="E1E1E1"/>
              <w:left w:val="single" w:sz="6" w:space="0" w:color="E1E1E1"/>
              <w:bottom w:val="single" w:sz="6" w:space="0" w:color="E1E1E1"/>
              <w:right w:val="single" w:sz="6" w:space="0" w:color="E1E1E1"/>
            </w:tcBorders>
            <w:shd w:val="clear" w:color="auto" w:fill="FFFFFF"/>
            <w:tcMar>
              <w:top w:w="105" w:type="dxa"/>
              <w:left w:w="150" w:type="dxa"/>
              <w:bottom w:w="105" w:type="dxa"/>
              <w:right w:w="150" w:type="dxa"/>
            </w:tcMar>
            <w:hideMark/>
          </w:tcPr>
          <w:p w14:paraId="11EB6A4C" w14:textId="77777777" w:rsidR="00141FF8" w:rsidRPr="00141FF8" w:rsidRDefault="00141FF8" w:rsidP="00141FF8">
            <w:pP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mjölkproduktion, hela året stallade nötdjur, äggproduktion eller smågrisproduktion</w:t>
            </w:r>
          </w:p>
        </w:tc>
        <w:tc>
          <w:tcPr>
            <w:tcW w:w="1985" w:type="dxa"/>
            <w:tcBorders>
              <w:top w:val="single" w:sz="6" w:space="0" w:color="E1E1E1"/>
              <w:left w:val="single" w:sz="6" w:space="0" w:color="E1E1E1"/>
              <w:bottom w:val="single" w:sz="6" w:space="0" w:color="E1E1E1"/>
              <w:right w:val="single" w:sz="6" w:space="0" w:color="E1E1E1"/>
            </w:tcBorders>
            <w:shd w:val="clear" w:color="auto" w:fill="FFFFFF"/>
            <w:tcMar>
              <w:top w:w="105" w:type="dxa"/>
              <w:left w:w="150" w:type="dxa"/>
              <w:bottom w:w="105" w:type="dxa"/>
              <w:right w:w="150" w:type="dxa"/>
            </w:tcMar>
            <w:hideMark/>
          </w:tcPr>
          <w:p w14:paraId="0F59B2DD" w14:textId="77777777" w:rsidR="00141FF8" w:rsidRPr="00C9040D" w:rsidRDefault="00141FF8" w:rsidP="006C3379">
            <w:pPr>
              <w:jc w:val="center"/>
              <w:rPr>
                <w:rFonts w:asciiTheme="minorHAnsi" w:hAnsiTheme="minorHAnsi" w:cstheme="minorHAnsi"/>
                <w:sz w:val="22"/>
                <w:szCs w:val="22"/>
                <w:lang w:val="sv-FI" w:eastAsia="sv-FI"/>
              </w:rPr>
            </w:pPr>
          </w:p>
          <w:p w14:paraId="7F2F862C" w14:textId="77777777" w:rsidR="00141FF8" w:rsidRPr="00141FF8" w:rsidRDefault="00141FF8" w:rsidP="006C3379">
            <w:pPr>
              <w:jc w:val="cente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6 – 17</w:t>
            </w:r>
          </w:p>
        </w:tc>
      </w:tr>
      <w:tr w:rsidR="00141FF8" w:rsidRPr="00141FF8" w14:paraId="6F9160BA" w14:textId="77777777" w:rsidTr="00141FF8">
        <w:tc>
          <w:tcPr>
            <w:tcW w:w="0" w:type="auto"/>
            <w:tcBorders>
              <w:top w:val="single" w:sz="6" w:space="0" w:color="E1E1E1"/>
              <w:left w:val="single" w:sz="6" w:space="0" w:color="E1E1E1"/>
              <w:bottom w:val="single" w:sz="6" w:space="0" w:color="E1E1E1"/>
              <w:right w:val="single" w:sz="6" w:space="0" w:color="E1E1E1"/>
            </w:tcBorders>
            <w:tcMar>
              <w:top w:w="105" w:type="dxa"/>
              <w:left w:w="150" w:type="dxa"/>
              <w:bottom w:w="105" w:type="dxa"/>
              <w:right w:w="150" w:type="dxa"/>
            </w:tcMar>
            <w:hideMark/>
          </w:tcPr>
          <w:p w14:paraId="46342EDB" w14:textId="77777777" w:rsidR="00141FF8" w:rsidRPr="00141FF8" w:rsidRDefault="00141FF8" w:rsidP="00C9040D">
            <w:pPr>
              <w:jc w:val="cente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75</w:t>
            </w:r>
          </w:p>
        </w:tc>
        <w:tc>
          <w:tcPr>
            <w:tcW w:w="4777" w:type="dxa"/>
            <w:tcBorders>
              <w:top w:val="single" w:sz="6" w:space="0" w:color="E1E1E1"/>
              <w:left w:val="single" w:sz="6" w:space="0" w:color="E1E1E1"/>
              <w:bottom w:val="single" w:sz="6" w:space="0" w:color="E1E1E1"/>
              <w:right w:val="single" w:sz="6" w:space="0" w:color="E1E1E1"/>
            </w:tcBorders>
            <w:tcMar>
              <w:top w:w="105" w:type="dxa"/>
              <w:left w:w="150" w:type="dxa"/>
              <w:bottom w:w="105" w:type="dxa"/>
              <w:right w:w="150" w:type="dxa"/>
            </w:tcMar>
            <w:hideMark/>
          </w:tcPr>
          <w:p w14:paraId="5AF66A76" w14:textId="77777777" w:rsidR="00141FF8" w:rsidRPr="00141FF8" w:rsidRDefault="00141FF8" w:rsidP="00141FF8">
            <w:pP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övrig produktion som avses i 3 §</w:t>
            </w:r>
          </w:p>
        </w:tc>
        <w:tc>
          <w:tcPr>
            <w:tcW w:w="1985" w:type="dxa"/>
            <w:tcBorders>
              <w:top w:val="single" w:sz="6" w:space="0" w:color="E1E1E1"/>
              <w:left w:val="single" w:sz="6" w:space="0" w:color="E1E1E1"/>
              <w:bottom w:val="single" w:sz="6" w:space="0" w:color="E1E1E1"/>
              <w:right w:val="single" w:sz="6" w:space="0" w:color="E1E1E1"/>
            </w:tcBorders>
            <w:tcMar>
              <w:top w:w="105" w:type="dxa"/>
              <w:left w:w="150" w:type="dxa"/>
              <w:bottom w:w="105" w:type="dxa"/>
              <w:right w:w="150" w:type="dxa"/>
            </w:tcMar>
            <w:hideMark/>
          </w:tcPr>
          <w:p w14:paraId="3A5F2814" w14:textId="77777777" w:rsidR="00141FF8" w:rsidRPr="00141FF8" w:rsidRDefault="00141FF8" w:rsidP="006C3379">
            <w:pPr>
              <w:jc w:val="center"/>
              <w:rPr>
                <w:rFonts w:asciiTheme="minorHAnsi" w:hAnsiTheme="minorHAnsi" w:cstheme="minorHAnsi"/>
                <w:sz w:val="22"/>
                <w:szCs w:val="22"/>
                <w:lang w:val="sv-FI" w:eastAsia="sv-FI"/>
              </w:rPr>
            </w:pPr>
            <w:r w:rsidRPr="00141FF8">
              <w:rPr>
                <w:rFonts w:asciiTheme="minorHAnsi" w:hAnsiTheme="minorHAnsi" w:cstheme="minorHAnsi"/>
                <w:sz w:val="22"/>
                <w:szCs w:val="22"/>
                <w:lang w:val="sv-FI" w:eastAsia="sv-FI"/>
              </w:rPr>
              <w:t>6 eller fler</w:t>
            </w:r>
          </w:p>
        </w:tc>
      </w:tr>
    </w:tbl>
    <w:p w14:paraId="3738BB21" w14:textId="77777777" w:rsidR="00141FF8" w:rsidRPr="00141FF8" w:rsidRDefault="00141FF8" w:rsidP="00141FF8">
      <w:pPr>
        <w:pStyle w:val="ANormal"/>
        <w:rPr>
          <w:szCs w:val="22"/>
        </w:rPr>
      </w:pPr>
    </w:p>
    <w:p w14:paraId="166FA8B3" w14:textId="77777777" w:rsidR="00E15BA1" w:rsidRDefault="00E15BA1" w:rsidP="00E15BA1">
      <w:pPr>
        <w:pStyle w:val="LagParagraf"/>
      </w:pPr>
      <w:r>
        <w:t>5 §</w:t>
      </w:r>
    </w:p>
    <w:p w14:paraId="54A787FC" w14:textId="77777777" w:rsidR="00E15BA1" w:rsidRDefault="00E15BA1" w:rsidP="00E15BA1">
      <w:pPr>
        <w:pStyle w:val="LagPararubrik"/>
      </w:pPr>
      <w:r>
        <w:t>Avbytarstödets belopp</w:t>
      </w:r>
    </w:p>
    <w:p w14:paraId="3A18A7CA" w14:textId="77777777" w:rsidR="00E15BA1" w:rsidRDefault="00E15BA1" w:rsidP="00E15BA1">
      <w:pPr>
        <w:pStyle w:val="ANormal"/>
      </w:pPr>
      <w:r>
        <w:tab/>
        <w:t xml:space="preserve">(2019/88) Normen för avbytarstöd är till och med den 31 december 2020 35 euro per avbytartimme, för timanställda lantbruksavbytare är dock normen till och med den 31 december 2020 18 euro per avbytartimme. Grundat </w:t>
      </w:r>
      <w:r>
        <w:lastRenderedPageBreak/>
        <w:t>på de faktiska kostnaderna utbetalas avbytarstöd med 80 procent av dessa belopp.</w:t>
      </w:r>
    </w:p>
    <w:p w14:paraId="5EE9B0AB" w14:textId="77777777" w:rsidR="00E15BA1" w:rsidRDefault="00E15BA1" w:rsidP="00E15BA1">
      <w:pPr>
        <w:pStyle w:val="ANormal"/>
      </w:pPr>
    </w:p>
    <w:p w14:paraId="462B8A7B" w14:textId="77777777" w:rsidR="00AD0F24" w:rsidRDefault="00AD0F24" w:rsidP="00AD0F24">
      <w:pPr>
        <w:pStyle w:val="LagParagraf"/>
      </w:pPr>
      <w:r>
        <w:t>6 §</w:t>
      </w:r>
    </w:p>
    <w:p w14:paraId="0F6C5BEA" w14:textId="77777777" w:rsidR="00AD0F24" w:rsidRDefault="00AD0F24" w:rsidP="00AD0F24">
      <w:pPr>
        <w:pStyle w:val="LagPararubrik"/>
      </w:pPr>
      <w:r>
        <w:t>Vikariehjälp</w:t>
      </w:r>
    </w:p>
    <w:p w14:paraId="4B0EE192" w14:textId="77777777" w:rsidR="006C3379" w:rsidRDefault="00AD0F24" w:rsidP="006C3379">
      <w:pPr>
        <w:pStyle w:val="ANormal"/>
      </w:pPr>
      <w:r>
        <w:tab/>
        <w:t>(2019/</w:t>
      </w:r>
      <w:r w:rsidR="006C3379">
        <w:t>88</w:t>
      </w:r>
      <w:r>
        <w:t xml:space="preserve">) </w:t>
      </w:r>
      <w:r w:rsidR="006C3379">
        <w:t>En lantbrukare vid ett lantbruksföretag med huvudinriktning på mjölk-produktion, hela året stallade nötdjur, äggproduktion eller smågrisproduktion som har minst 4 djurenheter, kan per kalenderår beviljas avbytarstöd för vikariehjälp på grund av</w:t>
      </w:r>
    </w:p>
    <w:p w14:paraId="14F07569" w14:textId="77777777" w:rsidR="006C3379" w:rsidRDefault="006C3379" w:rsidP="006C3379">
      <w:pPr>
        <w:pStyle w:val="ANormal"/>
      </w:pPr>
      <w:r>
        <w:tab/>
        <w:t>1) läkarintyg,</w:t>
      </w:r>
    </w:p>
    <w:p w14:paraId="67D4E8AD" w14:textId="77777777" w:rsidR="006C3379" w:rsidRDefault="006C3379" w:rsidP="006C3379">
      <w:pPr>
        <w:pStyle w:val="ANormal"/>
      </w:pPr>
      <w:r>
        <w:tab/>
        <w:t>2) faderskapsledighet under den tid lantbrukaren har rätt till faderskaps-penning enligt sjukförsäkringslagen (FFS 1224/2004) eller</w:t>
      </w:r>
    </w:p>
    <w:p w14:paraId="6DEF2324" w14:textId="77777777" w:rsidR="006C3379" w:rsidRDefault="006C3379" w:rsidP="006C3379">
      <w:pPr>
        <w:pStyle w:val="ANormal"/>
      </w:pPr>
      <w:r>
        <w:tab/>
        <w:t>3) har moderskaps- eller föräldraledighet enligt sjukförsäkringslagen.</w:t>
      </w:r>
    </w:p>
    <w:p w14:paraId="0A24044F" w14:textId="77777777" w:rsidR="006C3379" w:rsidRDefault="006C3379" w:rsidP="006C3379">
      <w:pPr>
        <w:pStyle w:val="ANormal"/>
      </w:pPr>
      <w:r>
        <w:tab/>
        <w:t>Ersättning enligt denna paragraf kan längst till och med den 31 december 2020 ges med 80 procent av de faktiska kostnaderna under högst 30 dagar och därefter med 50 procent av de faktiska kostnaderna för ytterligare 270 dagar. Ersättningen kan längst under 30 dagar beräknas utgående från den norm som gäller för lantbruksföretagares timersättningar, antalet avbytartimmar samt ersättningsprocenten och ges för de faktiska kostnaderna, dock högst med</w:t>
      </w:r>
    </w:p>
    <w:p w14:paraId="22C5F14A" w14:textId="77777777" w:rsidR="006C3379" w:rsidRDefault="006C3379" w:rsidP="006C3379">
      <w:pPr>
        <w:pStyle w:val="ANormal"/>
      </w:pPr>
      <w:r>
        <w:tab/>
        <w:t>1) 280 euro per dag för lantbruksföretag med huvudinriktning på mjölk-produktion, hela året stallade nötdjur, äggproduktion eller smågrisproduktion samt</w:t>
      </w:r>
    </w:p>
    <w:p w14:paraId="1EC66C44" w14:textId="77777777" w:rsidR="006C3379" w:rsidRDefault="006C3379" w:rsidP="006C3379">
      <w:pPr>
        <w:pStyle w:val="ANormal"/>
      </w:pPr>
      <w:r>
        <w:tab/>
        <w:t>2) 140 euro per dag för lantbruksföretag med huvudinriktning på övriga stödberättigade djurslag.</w:t>
      </w:r>
    </w:p>
    <w:p w14:paraId="3D343203" w14:textId="77777777" w:rsidR="006C3379" w:rsidRDefault="006C3379" w:rsidP="006C3379">
      <w:pPr>
        <w:pStyle w:val="ANormal"/>
      </w:pPr>
      <w:r>
        <w:tab/>
        <w:t xml:space="preserve">Utöver de 30 dagar som avses i 2 mom. kan enligt den norm som gäller för timanställda lantbruksavbytare, för ytterligare högst 270 dagar, ersättning beviljas med högst </w:t>
      </w:r>
    </w:p>
    <w:p w14:paraId="166F779B" w14:textId="77777777" w:rsidR="006C3379" w:rsidRDefault="006C3379" w:rsidP="006C3379">
      <w:pPr>
        <w:pStyle w:val="ANormal"/>
      </w:pPr>
      <w:r>
        <w:tab/>
        <w:t>1) 90 euro per dag för lantbruksföretag med huvudinriktning på mjölk-produktion, hela året stallade nötdjur, äggproduktion eller små-grisproduktion samt</w:t>
      </w:r>
    </w:p>
    <w:p w14:paraId="4D4C38F8" w14:textId="77777777" w:rsidR="006C3379" w:rsidRDefault="006C3379" w:rsidP="006C3379">
      <w:pPr>
        <w:pStyle w:val="ANormal"/>
      </w:pPr>
      <w:r>
        <w:tab/>
        <w:t>2) 45 euro per dag för övriga stödberättigade djurslag.</w:t>
      </w:r>
    </w:p>
    <w:p w14:paraId="00325CC3" w14:textId="77777777" w:rsidR="00AD0F24" w:rsidRDefault="006C3379" w:rsidP="006C3379">
      <w:pPr>
        <w:pStyle w:val="ANormal"/>
      </w:pPr>
      <w:r>
        <w:tab/>
        <w:t>Vikariehjälp kan beviljas på grund av arrangemang som krävs för fortsatt drift av ett lantbruksföretag eller för avslutande av ett lantbruksföretags drift, om en lantbruksföretagare har beviljats invalidpension tills vidare eller om behovet av vikariehjälp beror på lantbruksföretagarens död. I dessa fall kan vikariehjälp beviljas för högst 60 dagar under de sex månader som följer efter det att Lantbruksföretagarnas pensionsanstalt har beslutat bevilja invalidpension eller efter dödsfallet.</w:t>
      </w:r>
    </w:p>
    <w:p w14:paraId="271D5013" w14:textId="77777777" w:rsidR="00AD0F24" w:rsidRDefault="00AD0F24" w:rsidP="00AD0F24">
      <w:pPr>
        <w:pStyle w:val="LagParagraf"/>
      </w:pPr>
      <w:r>
        <w:t>7 §</w:t>
      </w:r>
    </w:p>
    <w:p w14:paraId="2A95BB54" w14:textId="77777777" w:rsidR="00AD0F24" w:rsidRDefault="00AD0F24" w:rsidP="00AD0F24">
      <w:pPr>
        <w:pStyle w:val="LagPararubrik"/>
      </w:pPr>
      <w:r>
        <w:t>Ikraftträdande</w:t>
      </w:r>
    </w:p>
    <w:p w14:paraId="4D403FE2" w14:textId="77777777" w:rsidR="00AD0F24" w:rsidRDefault="00AD0F24" w:rsidP="00AD0F24">
      <w:pPr>
        <w:pStyle w:val="ANormal"/>
      </w:pPr>
      <w:r>
        <w:tab/>
        <w:t>Denna lag träder i kraft den 1 januari 2015.</w:t>
      </w:r>
    </w:p>
    <w:p w14:paraId="34DFAE0C" w14:textId="77777777" w:rsidR="00AD0F24" w:rsidRDefault="00AD0F24" w:rsidP="00AD0F24">
      <w:pPr>
        <w:pStyle w:val="ANormal"/>
      </w:pPr>
      <w:r>
        <w:tab/>
        <w:t>Åtgärder som lagen förutsätter kan vidtas innan den har trätt i kraft.</w:t>
      </w:r>
    </w:p>
    <w:p w14:paraId="0424E040" w14:textId="77777777" w:rsidR="00AD0F24" w:rsidRDefault="00AD0F24" w:rsidP="00AD0F24">
      <w:pPr>
        <w:pStyle w:val="ANormal"/>
      </w:pPr>
      <w:r>
        <w:tab/>
        <w:t>Genom ikraftträdandet av denna lag upphävs landskapslagen (1998:57) om avbytarverksamhet för lantbrukare.</w:t>
      </w:r>
    </w:p>
    <w:p w14:paraId="15BB9B38" w14:textId="77777777" w:rsidR="003B2954" w:rsidRDefault="007572D4">
      <w:pPr>
        <w:pStyle w:val="ANormal"/>
        <w:jc w:val="center"/>
      </w:pPr>
      <w:hyperlink w:anchor="_top" w:tooltip="Klicka för att gå till toppen av dokumentet" w:history="1">
        <w:r w:rsidR="003B2954">
          <w:rPr>
            <w:rStyle w:val="Hyperlnk"/>
          </w:rPr>
          <w:t>__________________</w:t>
        </w:r>
      </w:hyperlink>
    </w:p>
    <w:p w14:paraId="593E6E03" w14:textId="77777777" w:rsidR="00AD0F24" w:rsidRDefault="00AD0F24" w:rsidP="00AD0F24">
      <w:pPr>
        <w:pStyle w:val="ANormal"/>
      </w:pPr>
    </w:p>
    <w:p w14:paraId="4B0F4B8C" w14:textId="77777777" w:rsidR="003B2954" w:rsidRDefault="003B2954" w:rsidP="00AD0F24">
      <w:pPr>
        <w:pStyle w:val="ANormal"/>
      </w:pPr>
    </w:p>
    <w:p w14:paraId="24D20743" w14:textId="77777777" w:rsidR="003B2954" w:rsidRDefault="003B2954" w:rsidP="003B2954">
      <w:pPr>
        <w:pStyle w:val="ANormal"/>
        <w:rPr>
          <w:b/>
          <w:bCs/>
          <w:sz w:val="20"/>
        </w:rPr>
      </w:pPr>
      <w:r w:rsidRPr="003B2954">
        <w:rPr>
          <w:b/>
          <w:bCs/>
          <w:sz w:val="20"/>
        </w:rPr>
        <w:t>2014:53</w:t>
      </w:r>
    </w:p>
    <w:p w14:paraId="286D612B" w14:textId="77777777" w:rsidR="003B2954" w:rsidRPr="003B2954" w:rsidRDefault="003B2954" w:rsidP="003B2954">
      <w:pPr>
        <w:pStyle w:val="ANormal"/>
        <w:rPr>
          <w:b/>
          <w:bCs/>
          <w:sz w:val="20"/>
        </w:rPr>
      </w:pPr>
      <w:r w:rsidRPr="003B2954">
        <w:rPr>
          <w:b/>
          <w:bCs/>
          <w:sz w:val="20"/>
        </w:rPr>
        <w:t>LF 14/2013-2014, FNU bet. 15/2013-2014</w:t>
      </w:r>
    </w:p>
    <w:p w14:paraId="07358192" w14:textId="77777777" w:rsidR="003B2954" w:rsidRDefault="003B2954" w:rsidP="003B2954">
      <w:pPr>
        <w:pStyle w:val="ANormal"/>
      </w:pPr>
    </w:p>
    <w:p w14:paraId="2AB87470" w14:textId="77777777" w:rsidR="003B2954" w:rsidRDefault="003B2954" w:rsidP="003B2954">
      <w:pPr>
        <w:pStyle w:val="ANormal"/>
      </w:pPr>
      <w:r>
        <w:t>2015/47</w:t>
      </w:r>
    </w:p>
    <w:p w14:paraId="0157C196" w14:textId="77777777" w:rsidR="003B2954" w:rsidRDefault="003B2954" w:rsidP="003B2954">
      <w:pPr>
        <w:pStyle w:val="ANormal"/>
      </w:pPr>
      <w:r>
        <w:tab/>
        <w:t>Denna lag träder i kraft den 1 september 2015.</w:t>
      </w:r>
    </w:p>
    <w:p w14:paraId="1EAA4341" w14:textId="77777777" w:rsidR="003B2954" w:rsidRDefault="003B2954" w:rsidP="003B2954">
      <w:pPr>
        <w:pStyle w:val="ANormal"/>
      </w:pPr>
      <w:r>
        <w:tab/>
        <w:t>Bestämmelserna i denna lags 4 § om avbytarstödets belopp och i 6 § om vikariehjälp är tillämpliga längst till och med den 31 december 2020.</w:t>
      </w:r>
    </w:p>
    <w:p w14:paraId="04E2CB17" w14:textId="77777777" w:rsidR="003B2954" w:rsidRDefault="003B2954" w:rsidP="003B2954">
      <w:pPr>
        <w:pStyle w:val="ANormal"/>
      </w:pPr>
      <w:r>
        <w:lastRenderedPageBreak/>
        <w:tab/>
        <w:t>Landskapsregeringen kan besluta att denna lag ska träda i kraft efter den Europeiska kommissionens godkännande av det stöd som lagen avser. Åtgärder som lagen förutsätter kan vidtas innan den har trätt i kraft.</w:t>
      </w:r>
    </w:p>
    <w:p w14:paraId="0B95F25C" w14:textId="77777777" w:rsidR="003B2954" w:rsidRDefault="003B2954" w:rsidP="003B2954">
      <w:pPr>
        <w:pStyle w:val="ANormal"/>
      </w:pPr>
      <w:r>
        <w:tab/>
        <w:t>Denna lag tillämpas på ansökningar som inkommit efter att lagen har trätt i kraft. De som beviljats vikariehjälp i enlighet med 6 § i lagens tidigare lydelse kan efter att lagen har trätt i kraft ansöka om att erhålla stöd för återstående antal dagar i enlighet med 6 § i denna lag.</w:t>
      </w:r>
    </w:p>
    <w:p w14:paraId="127F69B6" w14:textId="77777777" w:rsidR="003B2954" w:rsidRPr="003B2954" w:rsidRDefault="003B2954" w:rsidP="003B2954">
      <w:pPr>
        <w:pStyle w:val="ANormal"/>
        <w:rPr>
          <w:b/>
          <w:bCs/>
          <w:sz w:val="20"/>
        </w:rPr>
      </w:pPr>
      <w:r w:rsidRPr="003B2954">
        <w:rPr>
          <w:b/>
          <w:bCs/>
          <w:sz w:val="20"/>
        </w:rPr>
        <w:t xml:space="preserve">LF 9/2014-2015, FNU bet. 11/2014-2015 </w:t>
      </w:r>
    </w:p>
    <w:p w14:paraId="3D072261" w14:textId="77777777" w:rsidR="003B2954" w:rsidRDefault="003B2954" w:rsidP="003B2954">
      <w:pPr>
        <w:pStyle w:val="ANormal"/>
      </w:pPr>
    </w:p>
    <w:p w14:paraId="55BEA85C" w14:textId="77777777" w:rsidR="003B2954" w:rsidRDefault="003B2954" w:rsidP="003B2954">
      <w:pPr>
        <w:pStyle w:val="ANormal"/>
      </w:pPr>
      <w:r>
        <w:t>2019/57</w:t>
      </w:r>
    </w:p>
    <w:p w14:paraId="0E4DADBD" w14:textId="77777777" w:rsidR="003B2954" w:rsidRDefault="003B2954" w:rsidP="003B2954">
      <w:pPr>
        <w:pStyle w:val="ANormal"/>
      </w:pPr>
      <w:r>
        <w:tab/>
        <w:t>Denna lag träder i kraft den 1 september 2019.</w:t>
      </w:r>
    </w:p>
    <w:p w14:paraId="550ED6BE" w14:textId="77777777" w:rsidR="003B2954" w:rsidRDefault="003B2954" w:rsidP="003B2954">
      <w:pPr>
        <w:pStyle w:val="ANormal"/>
      </w:pPr>
      <w:r>
        <w:tab/>
        <w:t>Åtgärder som lagen förutsätter får vidtas innan den träder i kraft.</w:t>
      </w:r>
    </w:p>
    <w:p w14:paraId="355121DF" w14:textId="77777777" w:rsidR="00AD0F24" w:rsidRPr="003B2954" w:rsidRDefault="003B2954" w:rsidP="003B2954">
      <w:pPr>
        <w:pStyle w:val="ANormal"/>
        <w:rPr>
          <w:b/>
          <w:bCs/>
          <w:sz w:val="20"/>
        </w:rPr>
      </w:pPr>
      <w:r w:rsidRPr="003B2954">
        <w:rPr>
          <w:b/>
          <w:bCs/>
          <w:sz w:val="20"/>
        </w:rPr>
        <w:t>LF 14/2018-2019, FNU bet. 17/2018-2019</w:t>
      </w:r>
    </w:p>
    <w:p w14:paraId="048D429B" w14:textId="77777777" w:rsidR="003B2954" w:rsidRDefault="003B2954" w:rsidP="003B2954">
      <w:pPr>
        <w:pStyle w:val="ANormal"/>
      </w:pPr>
    </w:p>
    <w:p w14:paraId="3A40D893" w14:textId="77777777" w:rsidR="003B2954" w:rsidRDefault="003B2954" w:rsidP="003B2954">
      <w:pPr>
        <w:pStyle w:val="ANormal"/>
      </w:pPr>
      <w:r>
        <w:t>2019/88</w:t>
      </w:r>
    </w:p>
    <w:p w14:paraId="64C155F1" w14:textId="77777777" w:rsidR="003B2954" w:rsidRDefault="003B2954" w:rsidP="003B2954">
      <w:pPr>
        <w:pStyle w:val="ANormal"/>
      </w:pPr>
      <w:r>
        <w:tab/>
        <w:t>Denna lag träder i kraft den 1 november 2019.</w:t>
      </w:r>
    </w:p>
    <w:p w14:paraId="680AF6E2" w14:textId="77777777" w:rsidR="003B2954" w:rsidRDefault="003B2954" w:rsidP="003B2954">
      <w:pPr>
        <w:pStyle w:val="ANormal"/>
      </w:pPr>
      <w:r>
        <w:tab/>
        <w:t>Åtgärder som lagen förutsätter får vidtas innan den träder i kraft.</w:t>
      </w:r>
    </w:p>
    <w:p w14:paraId="07AE315E" w14:textId="77777777" w:rsidR="003B2954" w:rsidRPr="003B2954" w:rsidRDefault="003B2954" w:rsidP="003B2954">
      <w:pPr>
        <w:pStyle w:val="ANormal"/>
        <w:rPr>
          <w:b/>
          <w:bCs/>
          <w:sz w:val="20"/>
        </w:rPr>
      </w:pPr>
      <w:r w:rsidRPr="003B2954">
        <w:rPr>
          <w:b/>
          <w:bCs/>
          <w:sz w:val="20"/>
        </w:rPr>
        <w:t>LF 14/2018-2019, FNU 17/2018-2019</w:t>
      </w:r>
    </w:p>
    <w:sectPr w:rsidR="003B2954" w:rsidRPr="003B2954" w:rsidSect="00141FF8">
      <w:headerReference w:type="even" r:id="rId7"/>
      <w:headerReference w:type="default" r:id="rId8"/>
      <w:footerReference w:type="default" r:id="rId9"/>
      <w:pgSz w:w="11906" w:h="16838" w:code="9"/>
      <w:pgMar w:top="1134" w:right="3175" w:bottom="1247" w:left="2041" w:header="737" w:footer="7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E33F" w14:textId="77777777" w:rsidR="00AD0F24" w:rsidRDefault="00AD0F24">
      <w:r>
        <w:separator/>
      </w:r>
    </w:p>
  </w:endnote>
  <w:endnote w:type="continuationSeparator" w:id="0">
    <w:p w14:paraId="38DE6BAC" w14:textId="77777777" w:rsidR="00AD0F24" w:rsidRDefault="00AD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7232"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E8DF" w14:textId="77777777" w:rsidR="00AD0F24" w:rsidRDefault="00AD0F24">
      <w:r>
        <w:separator/>
      </w:r>
    </w:p>
  </w:footnote>
  <w:footnote w:type="continuationSeparator" w:id="0">
    <w:p w14:paraId="15E6931C" w14:textId="77777777" w:rsidR="00AD0F24" w:rsidRDefault="00AD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83E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D4FB14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8A1E"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24"/>
    <w:rsid w:val="00141FF8"/>
    <w:rsid w:val="00202894"/>
    <w:rsid w:val="00342FC4"/>
    <w:rsid w:val="003B2954"/>
    <w:rsid w:val="00464E03"/>
    <w:rsid w:val="004A6BA1"/>
    <w:rsid w:val="005F1DF9"/>
    <w:rsid w:val="006B633C"/>
    <w:rsid w:val="006C3379"/>
    <w:rsid w:val="00722128"/>
    <w:rsid w:val="007572D4"/>
    <w:rsid w:val="008450DA"/>
    <w:rsid w:val="00A01A63"/>
    <w:rsid w:val="00A32351"/>
    <w:rsid w:val="00AD0F24"/>
    <w:rsid w:val="00AF3004"/>
    <w:rsid w:val="00C9040D"/>
    <w:rsid w:val="00CC58EA"/>
    <w:rsid w:val="00DD5E39"/>
    <w:rsid w:val="00E15BA1"/>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ABEFC"/>
  <w15:chartTrackingRefBased/>
  <w15:docId w15:val="{02277F5B-C1A2-4D23-A3ED-E07C892D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E15BA1"/>
    <w:pPr>
      <w:spacing w:before="100" w:beforeAutospacing="1" w:after="100" w:afterAutospacing="1"/>
    </w:pPr>
    <w:rPr>
      <w:color w:val="555555"/>
      <w:lang w:val="sv-FI" w:eastAsia="sv-FI"/>
    </w:rPr>
  </w:style>
  <w:style w:type="paragraph" w:customStyle="1" w:styleId="fftabelltext">
    <w:name w:val="fftabelltext"/>
    <w:basedOn w:val="Normal"/>
    <w:rsid w:val="00E15BA1"/>
    <w:pPr>
      <w:spacing w:before="100" w:beforeAutospacing="1"/>
    </w:pPr>
    <w:rPr>
      <w:rFonts w:ascii="Arial Narrow" w:hAnsi="Arial Narrow"/>
      <w:color w:val="555555"/>
      <w:lang w:val="sv-FI" w:eastAsia="sv-FI"/>
    </w:rPr>
  </w:style>
  <w:style w:type="character" w:customStyle="1" w:styleId="Rubrik3Char">
    <w:name w:val="Rubrik 3 Char"/>
    <w:basedOn w:val="Standardstycketeckensnitt"/>
    <w:link w:val="Rubrik3"/>
    <w:uiPriority w:val="9"/>
    <w:rsid w:val="00141FF8"/>
    <w:rPr>
      <w:rFonts w:ascii="Arial" w:hAnsi="Arial" w:cs="Arial"/>
      <w:b/>
      <w:bCs/>
      <w:sz w:val="26"/>
      <w:szCs w:val="26"/>
      <w:lang w:val="sv-SE" w:eastAsia="sv-SE"/>
    </w:rPr>
  </w:style>
  <w:style w:type="paragraph" w:styleId="Normalwebb">
    <w:name w:val="Normal (Web)"/>
    <w:basedOn w:val="Normal"/>
    <w:uiPriority w:val="99"/>
    <w:semiHidden/>
    <w:unhideWhenUsed/>
    <w:rsid w:val="00141FF8"/>
    <w:pPr>
      <w:spacing w:before="100" w:beforeAutospacing="1" w:after="100" w:afterAutospacing="1"/>
    </w:pPr>
    <w:rPr>
      <w:lang w:val="sv-FI" w:eastAsia="sv-FI"/>
    </w:rPr>
  </w:style>
  <w:style w:type="paragraph" w:styleId="Ballongtext">
    <w:name w:val="Balloon Text"/>
    <w:basedOn w:val="Normal"/>
    <w:link w:val="BallongtextChar"/>
    <w:uiPriority w:val="99"/>
    <w:semiHidden/>
    <w:unhideWhenUsed/>
    <w:rsid w:val="00C9040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040D"/>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68073">
      <w:bodyDiv w:val="1"/>
      <w:marLeft w:val="0"/>
      <w:marRight w:val="0"/>
      <w:marTop w:val="0"/>
      <w:marBottom w:val="0"/>
      <w:divBdr>
        <w:top w:val="none" w:sz="0" w:space="0" w:color="auto"/>
        <w:left w:val="none" w:sz="0" w:space="0" w:color="auto"/>
        <w:bottom w:val="none" w:sz="0" w:space="0" w:color="auto"/>
        <w:right w:val="none" w:sz="0" w:space="0" w:color="auto"/>
      </w:divBdr>
      <w:divsChild>
        <w:div w:id="906112989">
          <w:marLeft w:val="0"/>
          <w:marRight w:val="0"/>
          <w:marTop w:val="0"/>
          <w:marBottom w:val="0"/>
          <w:divBdr>
            <w:top w:val="none" w:sz="0" w:space="0" w:color="auto"/>
            <w:left w:val="none" w:sz="0" w:space="0" w:color="auto"/>
            <w:bottom w:val="none" w:sz="0" w:space="0" w:color="auto"/>
            <w:right w:val="none" w:sz="0" w:space="0" w:color="auto"/>
          </w:divBdr>
          <w:divsChild>
            <w:div w:id="452020134">
              <w:marLeft w:val="0"/>
              <w:marRight w:val="0"/>
              <w:marTop w:val="0"/>
              <w:marBottom w:val="0"/>
              <w:divBdr>
                <w:top w:val="none" w:sz="0" w:space="0" w:color="auto"/>
                <w:left w:val="none" w:sz="0" w:space="0" w:color="auto"/>
                <w:bottom w:val="none" w:sz="0" w:space="0" w:color="auto"/>
                <w:right w:val="none" w:sz="0" w:space="0" w:color="auto"/>
              </w:divBdr>
              <w:divsChild>
                <w:div w:id="1683580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6524685">
          <w:marLeft w:val="0"/>
          <w:marRight w:val="0"/>
          <w:marTop w:val="0"/>
          <w:marBottom w:val="0"/>
          <w:divBdr>
            <w:top w:val="none" w:sz="0" w:space="0" w:color="auto"/>
            <w:left w:val="none" w:sz="0" w:space="0" w:color="auto"/>
            <w:bottom w:val="none" w:sz="0" w:space="0" w:color="auto"/>
            <w:right w:val="none" w:sz="0" w:space="0" w:color="auto"/>
          </w:divBdr>
        </w:div>
      </w:divsChild>
    </w:div>
    <w:div w:id="1771463972">
      <w:bodyDiv w:val="1"/>
      <w:marLeft w:val="0"/>
      <w:marRight w:val="0"/>
      <w:marTop w:val="0"/>
      <w:marBottom w:val="0"/>
      <w:divBdr>
        <w:top w:val="none" w:sz="0" w:space="0" w:color="auto"/>
        <w:left w:val="none" w:sz="0" w:space="0" w:color="auto"/>
        <w:bottom w:val="none" w:sz="0" w:space="0" w:color="auto"/>
        <w:right w:val="none" w:sz="0" w:space="0" w:color="auto"/>
      </w:divBdr>
      <w:divsChild>
        <w:div w:id="1047870838">
          <w:marLeft w:val="0"/>
          <w:marRight w:val="0"/>
          <w:marTop w:val="0"/>
          <w:marBottom w:val="0"/>
          <w:divBdr>
            <w:top w:val="none" w:sz="0" w:space="0" w:color="auto"/>
            <w:left w:val="none" w:sz="0" w:space="0" w:color="auto"/>
            <w:bottom w:val="none" w:sz="0" w:space="0" w:color="auto"/>
            <w:right w:val="none" w:sz="0" w:space="0" w:color="auto"/>
          </w:divBdr>
          <w:divsChild>
            <w:div w:id="455607184">
              <w:marLeft w:val="0"/>
              <w:marRight w:val="0"/>
              <w:marTop w:val="0"/>
              <w:marBottom w:val="0"/>
              <w:divBdr>
                <w:top w:val="none" w:sz="0" w:space="0" w:color="auto"/>
                <w:left w:val="none" w:sz="0" w:space="0" w:color="auto"/>
                <w:bottom w:val="none" w:sz="0" w:space="0" w:color="auto"/>
                <w:right w:val="none" w:sz="0" w:space="0" w:color="auto"/>
              </w:divBdr>
              <w:divsChild>
                <w:div w:id="1157182682">
                  <w:marLeft w:val="-225"/>
                  <w:marRight w:val="-225"/>
                  <w:marTop w:val="0"/>
                  <w:marBottom w:val="0"/>
                  <w:divBdr>
                    <w:top w:val="none" w:sz="0" w:space="0" w:color="auto"/>
                    <w:left w:val="none" w:sz="0" w:space="0" w:color="auto"/>
                    <w:bottom w:val="none" w:sz="0" w:space="0" w:color="auto"/>
                    <w:right w:val="none" w:sz="0" w:space="0" w:color="auto"/>
                  </w:divBdr>
                  <w:divsChild>
                    <w:div w:id="177501411">
                      <w:marLeft w:val="0"/>
                      <w:marRight w:val="0"/>
                      <w:marTop w:val="0"/>
                      <w:marBottom w:val="0"/>
                      <w:divBdr>
                        <w:top w:val="none" w:sz="0" w:space="0" w:color="auto"/>
                        <w:left w:val="none" w:sz="0" w:space="0" w:color="auto"/>
                        <w:bottom w:val="none" w:sz="0" w:space="0" w:color="auto"/>
                        <w:right w:val="none" w:sz="0" w:space="0" w:color="auto"/>
                      </w:divBdr>
                      <w:divsChild>
                        <w:div w:id="272174281">
                          <w:marLeft w:val="-225"/>
                          <w:marRight w:val="-225"/>
                          <w:marTop w:val="0"/>
                          <w:marBottom w:val="0"/>
                          <w:divBdr>
                            <w:top w:val="none" w:sz="0" w:space="0" w:color="auto"/>
                            <w:left w:val="none" w:sz="0" w:space="0" w:color="auto"/>
                            <w:bottom w:val="none" w:sz="0" w:space="0" w:color="auto"/>
                            <w:right w:val="none" w:sz="0" w:space="0" w:color="auto"/>
                          </w:divBdr>
                          <w:divsChild>
                            <w:div w:id="2024740415">
                              <w:marLeft w:val="0"/>
                              <w:marRight w:val="0"/>
                              <w:marTop w:val="0"/>
                              <w:marBottom w:val="0"/>
                              <w:divBdr>
                                <w:top w:val="none" w:sz="0" w:space="0" w:color="auto"/>
                                <w:left w:val="none" w:sz="0" w:space="0" w:color="auto"/>
                                <w:bottom w:val="none" w:sz="0" w:space="0" w:color="auto"/>
                                <w:right w:val="none" w:sz="0" w:space="0" w:color="auto"/>
                              </w:divBdr>
                              <w:divsChild>
                                <w:div w:id="1636251675">
                                  <w:marLeft w:val="0"/>
                                  <w:marRight w:val="0"/>
                                  <w:marTop w:val="0"/>
                                  <w:marBottom w:val="0"/>
                                  <w:divBdr>
                                    <w:top w:val="single" w:sz="6" w:space="31" w:color="C0C0C0"/>
                                    <w:left w:val="single" w:sz="6" w:space="31" w:color="C0C0C0"/>
                                    <w:bottom w:val="single" w:sz="6" w:space="31" w:color="C0C0C0"/>
                                    <w:right w:val="single" w:sz="6" w:space="31" w:color="C0C0C0"/>
                                  </w:divBdr>
                                  <w:divsChild>
                                    <w:div w:id="10563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107</TotalTime>
  <Pages>4</Pages>
  <Words>1216</Words>
  <Characters>6966</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8166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Annette Loumann</cp:lastModifiedBy>
  <cp:revision>6</cp:revision>
  <cp:lastPrinted>2019-10-03T09:08:00Z</cp:lastPrinted>
  <dcterms:created xsi:type="dcterms:W3CDTF">2019-10-03T07:22:00Z</dcterms:created>
  <dcterms:modified xsi:type="dcterms:W3CDTF">2019-10-03T12:14:00Z</dcterms:modified>
</cp:coreProperties>
</file>